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F0" w:rsidRDefault="005361F0" w:rsidP="005361F0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A2382E">
        <w:rPr>
          <w:rFonts w:ascii="黑体" w:eastAsia="黑体" w:hint="eastAsia"/>
          <w:sz w:val="32"/>
          <w:szCs w:val="32"/>
        </w:rPr>
        <w:t>附件1</w:t>
      </w:r>
    </w:p>
    <w:p w:rsidR="005361F0" w:rsidRPr="00A2382E" w:rsidRDefault="005361F0" w:rsidP="005361F0"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 w:rsidR="005361F0" w:rsidRDefault="005361F0" w:rsidP="005361F0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44"/>
          <w:szCs w:val="36"/>
        </w:rPr>
        <w:t>20</w:t>
      </w:r>
      <w:r w:rsidR="00F96F6F">
        <w:rPr>
          <w:rFonts w:ascii="方正小标宋简体" w:eastAsia="方正小标宋简体" w:hAnsi="宋体" w:hint="eastAsia"/>
          <w:bCs/>
          <w:sz w:val="44"/>
          <w:szCs w:val="36"/>
        </w:rPr>
        <w:t>20</w:t>
      </w:r>
      <w:r>
        <w:rPr>
          <w:rFonts w:ascii="方正小标宋简体" w:eastAsia="方正小标宋简体" w:hAnsi="宋体" w:hint="eastAsia"/>
          <w:bCs/>
          <w:sz w:val="44"/>
          <w:szCs w:val="36"/>
        </w:rPr>
        <w:t>年</w:t>
      </w:r>
      <w:r w:rsidRPr="00414685">
        <w:rPr>
          <w:rFonts w:ascii="方正小标宋简体" w:eastAsia="方正小标宋简体" w:hAnsi="宋体" w:hint="eastAsia"/>
          <w:bCs/>
          <w:sz w:val="44"/>
          <w:szCs w:val="36"/>
        </w:rPr>
        <w:t>江西省高等学校教学改革研究</w:t>
      </w:r>
    </w:p>
    <w:p w:rsidR="005361F0" w:rsidRPr="00414685" w:rsidRDefault="005361F0" w:rsidP="005361F0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36"/>
        </w:rPr>
      </w:pPr>
      <w:r w:rsidRPr="00414685">
        <w:rPr>
          <w:rFonts w:ascii="方正小标宋简体" w:eastAsia="方正小标宋简体" w:hAnsi="宋体" w:hint="eastAsia"/>
          <w:bCs/>
          <w:sz w:val="44"/>
          <w:szCs w:val="36"/>
        </w:rPr>
        <w:t>课题立项指南</w:t>
      </w:r>
    </w:p>
    <w:bookmarkEnd w:id="0"/>
    <w:p w:rsidR="005361F0" w:rsidRDefault="005361F0" w:rsidP="005361F0"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《江西省高等学校教学改革研究课题立项指南》分成十大类。各大类所列选题均为方向性标题，而非具体课题名称。申请者应在选题指导下，结合我省教育教学发展重点和学校、个人的实际情况，确定申报课题题目。课题题目必须简明、规范并突出研究主题，不宜照抄课题指南的名称。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本文公布的课题指南并未囊括高校教学改革研究的所有领域和问题，申请人还可以根据自己的研究兴趣和研究条件，自拟课题题目，但必须充分体现省教改课题研究的应用性、实践性特征。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一、高校转型发展机制及人才培养模式改革研究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产教融合、校企合作、协同育人、人才培养模式中关键问题及对策研究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2．高职教育与应用技术型本科教育衔接机制研究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示范性高职院校与普通本科院校联合培养应用型本科人才机制研究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4．现代职业院校治理结构与治理能力水平建设与研究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5．国际化背景下技术技能人才培养体系研究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6．高校转型发展背景下拔尖创新人才培养模式研究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7．新建本科高校应用型人才培养模式研究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8．本科层次职业教育人才培养模式研究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9．地方性应用型本科院校人才培养模式改革与实践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10．高职院校面向社会人员的全日制学历教育人才培养模式研究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11．高校人才培养适应区域经济发展研究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12．创新创业人才培养模式研究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13．创新型人才培养模式研究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14．应用技术型人才培养模式研究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15．“六卓越一拔尖计划”（型）人才培养模式研究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16．（校政企）协同育人模式研究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17．高素质技术技能型人才培养模式研究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18．复合型人才培养模式研究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19．服务于“一带一路”国家的国际化人才培养模式研究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20．远程开放教育人才培养模式研究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21．职业教育现代学徒制和企业新型学徒制培养模式研究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22．基于“学历证书+若干职业技能登记证书”制度试点（1+X证书制度试点）下的人才培养模式研究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23．军民融合育人模式研究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24．双一流背景下高校建设高水平本科人才培养体系研究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25．“双高”建设背景下高职院校专业人才培养体系研</w:t>
      </w: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26．学分互认背景下高校本科教育跨学院、跨学科、跨专业、跨校、跨行业人才培养机制研究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27．国家学分银行背景下职业教育育人体系研究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28．高校全方位育人体系研究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29．新工科人才培养模式研究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30．基于工程教育认证的人才培养方案改革研究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31．高水平高职院校服务地方产业发展契合度研究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二、创新创业教育研究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1．创新创业教育贯穿人才培养全过程研究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2．基于校企合作的创新创业平台建设研究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3．创新创业课程体系建设研究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4．创新创业教育融入专业教育的案例研究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5．创新创业教师团队建设研究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6．创新创业教育改革与高校人才培养模式创新研究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7．大学生创新创业竞赛组织模式研究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8．大学生职业生涯规划、就业指导和服务研究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9．跨专业联合创新创业课程设计与实施方式研究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10．高校创新创业教学激励机制研究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11．创业学院的定位、运行机制和发展路径研究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12．高校创业教育师资培养机制研究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13．创新创业教育体系构建与实施路径研究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14．创新创业导师队伍建设研究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15．高校大学生创新创业校内外基地建设与管理研究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16．创新创业教育协同机制研究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17．中外创新创业教育比较研究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18．师生协同创新机制研究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19．政校协同创新机制研究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三、专业、课程设置及建设研究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1．提升专业服务区域社会、经济、文化发展能力研究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2．应用型本科高校专业改造研究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3．职业本科高校专业建设研究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4．高职院校试办本科专业的建设研究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5．专业设置、建设路径、结构优化与培养目标定位研究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6．人才培养目标与专业核心课程群建设研究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7．专业培养目标与课程体系建设研究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8．专业认证与评估体系研究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9．专业预警与动态调整机制研究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应用型本科、职业本科院校课程建设质量评价体系研究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11．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应用型本科、职业本科院校课堂教学质量评价体系研究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12．各类课程网站建设研究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13．慕课、微课建设与应用研究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14．基于“1+X”证书制度下的课程建设研究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15．双语课程建设研究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16．各门课程教学内容及教学标准研究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17．高校优质课程建设与共享机制研究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18．移动学习内容设计与应用研究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19．课程建设协同创新机制研究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20．通识课课程体系研究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21．高校品牌特色（一流）专业建设研究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22．高职院校高水平专业（群）建设研究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23．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高职院校高水平专业（群）与地方经济发展适应性研究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24．基于能力为本的专业课程设置研究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25．名师、名课、名教材三者互促机制研究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26．提升高校思想政治理论课教学实效性研究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27．新媒介时代高校思想政治理论课教育教学创新研究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28．通识课程思政改革与建设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29．各类课程同思政课建设的协同效应研究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30．专业课程思政改革与建设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31．高校校际学分认定及转换机制研究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32．学分制改革与创新研究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33．</w:t>
      </w:r>
      <w:r w:rsidRPr="001137BF">
        <w:rPr>
          <w:rFonts w:ascii="仿宋_GB2312" w:eastAsia="仿宋_GB2312" w:hint="eastAsia"/>
          <w:bCs/>
          <w:spacing w:val="-8"/>
          <w:sz w:val="32"/>
          <w:szCs w:val="32"/>
        </w:rPr>
        <w:t>“新国标”背景下的高校专业设置、建设与退出机制研究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34．OBE导向的课程建设研究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35．专业需求预测预警机制建设及其结果运用研究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36．适应复合型人才培养的专业群建设研究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37．适应复合型人才培养的学科交叉课程群建设研究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38．专业资源有效配置机制研究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lastRenderedPageBreak/>
        <w:t>四、教学模式（方法）、手段改革研究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1．高校思想政治理论课教学模式创新与实践研究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2．研究型教学法的研究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3．基于问题教学法的研究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4．项目驱动式教学法研究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5．体验式教学法研究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6．案例教学法研究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7．参与式/浸润式教学法研究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8．行动导向教学法研究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9．角色扮演教学法研究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10．合作学习教学法的研究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11．网络学习空间建设和应用的研究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12．人工智能、大数据、虚拟现实等现代信息技术在教育教学中的应用研究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13．数字化优质教学资源共建共享与协同创新研究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14．高校课程联盟运作体系研究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15．其它教学方法、学习模式、教学理论、学习理论的研究、创新与应用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16．传统教学媒介的传承与发展研究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17．区域性专业教育“云平台”建设与应用研究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18．数字化自主学习平台建设与应用研究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19．知识可视化技术的在教学中的应用研究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20．慕课环境下课程教学模式研究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21．教学策略在课程教学中的应用研究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22．基于教学原理的教学实验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23．教育性教学方法研究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24．基于教学目标的多媒体课件开发及应用研究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25．教学中网络资源的应用研究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26．教学中社会资源的应用研究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27．翻转课堂的应用研究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28．教学形成性评价研究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29．教学过程性评价研究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30．科研与教学融合创新机制研究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31．新时代背景下的高校本科“课堂革命”研究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32．人工智能时代背景下的教师课堂教学精准画像研究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33．人工智能专业建设标准研究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34．“课堂革命”背景下的智能化精准教育、智慧学习、混合式教学改革研究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35．“线上+线下”的混合式教学模式研究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36．高职院校教学诊断与改进研究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五、教学内容改革及教材建设研究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1．社会主义核心价值观融入高校思想政治理论课研究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2．高校思想政治理论课教材体系向教学体系转化研究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3．最新科研成果进教材、进课堂研究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4．慕课环境下的教材建设研究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5．校本教材开发研究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6．立体化教材建设研究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7．新型活页式、工作手册式教材建设研究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8．基于“1+X”证书制度试点下的教材建设研究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9．各类教材及实验、实习、实训指导书的开发与应用研究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10．教学网站建设研究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11．各类教学资源库建设研究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12．高校网络化、数字化教学平台建设研究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13．微课资源开发与应用研究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14．教学内容的碎片化与系统化研究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15．新高考招生制度改革下高校基础课程的改革研究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16．中国优秀传统文化进教材、进课堂研究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17．工匠精神融入高职院校课程研究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六、教学团队及师资队伍建设研究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1．高校思想政治理论课教师队伍建设研究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2．高校思想政治理论教学工作协整体性协同性研究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3．高职院校高水平校外兼职教师建设机制研究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4．教学团队与高水平教师队伍建设研究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5．高职院校高水平、结构化教师教学创新团队建设研究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6．慕课教学环境中教师的角色转变研究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7．协同创新背景下课程教学团队建设研究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8．网络学习空间环境下教师的角色转变研究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9．应用技术型本科高校教师队伍建设研究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10．高职院校“双师型”教师队伍建设研究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11．“1+X”证书制度下的教师队伍建设研究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12．高校教师专业发展研究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13．校本培训与师资队伍建设研究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14．名师培养工作研究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15．教师工作室建设研究（含专职教师、兼职教师）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16．“双师型”教师队伍建设研究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17．本科生导师制研究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18．教师教学竞赛研究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19．高校师德师风建设研究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20．专业化师资管理干部队伍建设研究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21．教师发展及服务支持体系研究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22．校外兼职教师的选聘与管理研究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23．青年教师的培养、使用与提高研究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24．基层教师能力提升研究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25．“国际化”教师队伍建设研究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color w:val="FF0000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26．实现内涵式发展背景下高校基层教学组织建设研究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七、教育对象与教学策略研究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1．大学生对社会主义核心价值观的认同研究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2．大学生的政治信仰及其引导研究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3．大学生转型关键期的心理辅导与行为指导研究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4．大学生信息素养培养研究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5．大学生学习动机矫正研究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6．大学生心理素质提升探究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7．大学生学习需求开发研究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8．</w:t>
      </w:r>
      <w:r w:rsidRPr="001137BF">
        <w:rPr>
          <w:rFonts w:ascii="仿宋_GB2312" w:eastAsia="仿宋_GB2312" w:hint="eastAsia"/>
          <w:bCs/>
          <w:spacing w:val="-9"/>
          <w:sz w:val="32"/>
          <w:szCs w:val="32"/>
        </w:rPr>
        <w:t>以学为中心的教学设计研究（面向学习者的教学设计研</w:t>
      </w:r>
      <w:r w:rsidRPr="001137BF">
        <w:rPr>
          <w:rFonts w:ascii="仿宋_GB2312" w:eastAsia="仿宋_GB2312" w:hint="eastAsia"/>
          <w:bCs/>
          <w:spacing w:val="-9"/>
          <w:sz w:val="32"/>
          <w:szCs w:val="32"/>
        </w:rPr>
        <w:lastRenderedPageBreak/>
        <w:t>究）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9．“以学生为中心”的教学模式研究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10．和谐师生关系的构建研究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11．大学生学习能力提升研究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12．大学生就业质量评估研究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13．德育教育评价机制研究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14．教学策略在教学中的运用研究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15．大学生职业能力提升研究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16．大学生学习效率提高策略研究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17．“三全育人”改革与机制研究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18．大学生健全人格培养研究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19．大学生人文素质培养研究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20．大学生科学素养培养研究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21．大学生生态文明素养培育研究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22．各专业大学生职业素养培育研究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23．接受全日制高职教育的社会人员学习能力提升研究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八、实践教学条件及方法改革研究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1．高校思想政治理论课实践教学改革研究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2．高校思想政治理论课实践教学资源开发与利用研究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3．各专业实践教学体系构建研究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4．实验教学内容整合与创新研究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5．实验、实习、实训方法研究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6．高校实践教学模式及运行机制创新研究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7．高水平专业化产教融合公共实训基地建设研究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8．生产性实训基地、技术研发中心、产业人才培养培训基地、“双师型”教师培养培训基地、技能大师工作室建设研究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9．提高实验室利用效率研究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10．课程实验教学改革研究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11．校外实践教学基地建设研究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12．校企合作培养学生实践能力研究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13．课程实践教学方法研究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14．大学生创业园区建设研究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15．顶岗实习管理与服务模式研究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16．学生实习管理与信息化建设研究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17．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大学生科技创新与职业技能竞赛活动组织管理模式研究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18．远程虚拟实验室建设研究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19．虚拟仿真实验平台建设研究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20．实验设备远程共享机制研究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21．政校合作开展实践基地建设研究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22．实践+就业模式研究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九、教学管理、教学质量标准制定及保障研究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1．高校思想政治理论课教学评价体系的研究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2．教学管理数字化、信息化建设研究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pacing w:val="-6"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</w:t>
      </w: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应用技术型本科高校教学质量标准制定的原则、方法研究</w:t>
      </w:r>
    </w:p>
    <w:p w:rsidR="005361F0" w:rsidRPr="001137BF" w:rsidRDefault="005361F0" w:rsidP="005361F0">
      <w:pPr>
        <w:spacing w:line="580" w:lineRule="exact"/>
        <w:ind w:firstLineChars="200" w:firstLine="616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pacing w:val="-6"/>
          <w:sz w:val="32"/>
          <w:szCs w:val="32"/>
        </w:rPr>
        <w:t>4．职业本科高校教学质量标准制定的原则、方法研究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5．教学运行机制研究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6．教学质量管理机制研究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7．高校教学考核制度改革与创新研究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8．课程质量评估方法研究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9．本科高校合格评估、审核评估工作研究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10．高校常态监测状态数据的采集与利用研究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11．教学质量保障体系研究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12．基层教学组织建设研究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13．教学资源校际共享研究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14．实验室管理改革研究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15．教改成果与教学成果推广应用研究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16．教师评价科学化问题研究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17．高校教学激励与评价保障机制研究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18．课程联盟运行模式研究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19．基于大数据的教学评估和教学管理研究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20．专业人才培养标准及保障研究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21．课程课堂教学质量标准及保障研究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22．课程实践教学质量标准及保障研究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23．专业毕业论文（设计）质量标准及保障研究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 xml:space="preserve">24．多媒体教学课件的质量标准研究 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25．教学诊断与改进制度研究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26．专业建设质量保障体系研究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27．</w:t>
      </w:r>
      <w:r w:rsidRPr="001137BF">
        <w:rPr>
          <w:rFonts w:ascii="仿宋_GB2312" w:eastAsia="仿宋_GB2312" w:hint="eastAsia"/>
          <w:bCs/>
          <w:spacing w:val="-8"/>
          <w:sz w:val="32"/>
          <w:szCs w:val="32"/>
        </w:rPr>
        <w:t>高校专业负责人、课程负责人、教研任主任管理办法研究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lastRenderedPageBreak/>
        <w:t>28．一流本科专业质量标准与评价体系研究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29．高水平高职院校专业质量标准与评价体系研究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30．教学管理队伍建设研究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31．督导队伍建设及其质量监督优化研究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32．校园质量文化建设研究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33．教师教学事故处理及其法律法规建设研究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34．课程课堂教学中的形成性、过程性评价机制研究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35．大学教学质量文化建设研究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黑体" w:eastAsia="黑体" w:hAnsi="黑体"/>
          <w:b/>
          <w:color w:val="FF0000"/>
          <w:sz w:val="32"/>
          <w:szCs w:val="32"/>
        </w:rPr>
      </w:pPr>
      <w:r w:rsidRPr="001137BF">
        <w:rPr>
          <w:rFonts w:ascii="黑体" w:eastAsia="黑体" w:hAnsi="黑体" w:hint="eastAsia"/>
          <w:bCs/>
          <w:sz w:val="32"/>
          <w:szCs w:val="32"/>
        </w:rPr>
        <w:t>十、现代职业教育体系建设研究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1．职业教育与经济社会协调发展机制研究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2．现代职业教育体系建设推进路径研究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3．现代职业教育体系的基本架构及评价指标体系研究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4．中等职业学校与应用型本科、职业本科高校“3+4”分段培养模式研究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5．高等职业院校与应用型本科、职业本科高校“3+2”分段培养模式研究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6．中、高职教育衔接人才培养模式创新研究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7．中、高职教育衔接中的接口问题及其疏通研究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8．中高职院校联合培养专科层次学生的探索与研究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9．职业教育集团化问题研究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10．校企合作联盟的基本属性与运行机制研究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137BF">
        <w:rPr>
          <w:rFonts w:ascii="仿宋_GB2312" w:eastAsia="仿宋_GB2312" w:hint="eastAsia"/>
          <w:bCs/>
          <w:sz w:val="32"/>
          <w:szCs w:val="32"/>
        </w:rPr>
        <w:t>11．职业教育校企合作长效机制研究</w:t>
      </w:r>
    </w:p>
    <w:p w:rsidR="005361F0" w:rsidRPr="001137BF" w:rsidRDefault="005361F0" w:rsidP="005361F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37BF">
        <w:rPr>
          <w:rFonts w:ascii="仿宋_GB2312" w:eastAsia="仿宋_GB2312" w:hint="eastAsia"/>
          <w:sz w:val="32"/>
          <w:szCs w:val="32"/>
        </w:rPr>
        <w:t>12．职业院校混合所有制办学探索与研究</w:t>
      </w:r>
    </w:p>
    <w:p w:rsidR="006D6373" w:rsidRDefault="005361F0" w:rsidP="005361F0">
      <w:r w:rsidRPr="001137BF">
        <w:rPr>
          <w:rFonts w:ascii="仿宋_GB2312" w:eastAsia="仿宋_GB2312" w:hint="eastAsia"/>
          <w:sz w:val="32"/>
          <w:szCs w:val="32"/>
        </w:rPr>
        <w:t>13．社会力量参与职业院校专业建设探索与研究</w:t>
      </w:r>
      <w:r>
        <w:rPr>
          <w:rFonts w:ascii="黑体" w:eastAsia="黑体"/>
          <w:sz w:val="32"/>
          <w:szCs w:val="32"/>
        </w:rPr>
        <w:br w:type="page"/>
      </w:r>
    </w:p>
    <w:sectPr w:rsidR="006D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22" w:rsidRDefault="00A20122" w:rsidP="005361F0">
      <w:r>
        <w:separator/>
      </w:r>
    </w:p>
  </w:endnote>
  <w:endnote w:type="continuationSeparator" w:id="0">
    <w:p w:rsidR="00A20122" w:rsidRDefault="00A20122" w:rsidP="0053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22" w:rsidRDefault="00A20122" w:rsidP="005361F0">
      <w:r>
        <w:separator/>
      </w:r>
    </w:p>
  </w:footnote>
  <w:footnote w:type="continuationSeparator" w:id="0">
    <w:p w:rsidR="00A20122" w:rsidRDefault="00A20122" w:rsidP="0053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4B"/>
    <w:rsid w:val="002255C7"/>
    <w:rsid w:val="005361F0"/>
    <w:rsid w:val="006D6373"/>
    <w:rsid w:val="0087494E"/>
    <w:rsid w:val="00A20122"/>
    <w:rsid w:val="00C043FE"/>
    <w:rsid w:val="00F66A4B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1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2020-09-21T02:43:00Z</dcterms:created>
  <dcterms:modified xsi:type="dcterms:W3CDTF">2020-09-22T03:15:00Z</dcterms:modified>
</cp:coreProperties>
</file>